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78C0F" w14:textId="1C904161" w:rsidR="001917DF" w:rsidRPr="001917DF" w:rsidRDefault="001917DF" w:rsidP="0079218B">
      <w:pPr>
        <w:pStyle w:val="Heading1"/>
        <w:rPr>
          <w:rFonts w:eastAsia="Times New Roman"/>
          <w:b w:val="0"/>
          <w:bdr w:val="none" w:sz="0" w:space="0" w:color="auto" w:frame="1"/>
          <w:lang w:val="en-CA" w:eastAsia="en-CA"/>
        </w:rPr>
      </w:pPr>
      <w:r w:rsidRPr="001917DF">
        <w:rPr>
          <w:rFonts w:eastAsia="Times New Roman"/>
          <w:bdr w:val="none" w:sz="0" w:space="0" w:color="auto" w:frame="1"/>
          <w:lang w:val="en-CA" w:eastAsia="en-CA"/>
        </w:rPr>
        <w:t>UCC Protect United wordings changed with December 1, 2022</w:t>
      </w:r>
      <w:r w:rsidR="007C634A">
        <w:rPr>
          <w:rFonts w:eastAsia="Times New Roman"/>
          <w:bdr w:val="none" w:sz="0" w:space="0" w:color="auto" w:frame="1"/>
          <w:lang w:val="en-CA" w:eastAsia="en-CA"/>
        </w:rPr>
        <w:t>,</w:t>
      </w:r>
      <w:r w:rsidRPr="001917DF">
        <w:rPr>
          <w:rFonts w:eastAsia="Times New Roman"/>
          <w:bdr w:val="none" w:sz="0" w:space="0" w:color="auto" w:frame="1"/>
          <w:lang w:val="en-CA" w:eastAsia="en-CA"/>
        </w:rPr>
        <w:t xml:space="preserve"> renewals</w:t>
      </w:r>
    </w:p>
    <w:p w14:paraId="5AC78C11" w14:textId="42283BF0" w:rsidR="001917DF" w:rsidRPr="001917DF" w:rsidRDefault="001917DF" w:rsidP="0079218B">
      <w:pPr>
        <w:rPr>
          <w:rFonts w:cs="Calibri"/>
          <w:color w:val="424242"/>
          <w:lang w:val="en-CA" w:eastAsia="en-CA"/>
        </w:rPr>
      </w:pPr>
      <w:r w:rsidRPr="001917DF">
        <w:rPr>
          <w:bdr w:val="none" w:sz="0" w:space="0" w:color="auto" w:frame="1"/>
          <w:lang w:val="en-CA" w:eastAsia="en-CA"/>
        </w:rPr>
        <w:t>Corrected and added as per the underwriter</w:t>
      </w:r>
      <w:r w:rsidR="007C634A">
        <w:rPr>
          <w:bdr w:val="none" w:sz="0" w:space="0" w:color="auto" w:frame="1"/>
          <w:lang w:val="en-CA" w:eastAsia="en-CA"/>
        </w:rPr>
        <w:t>’</w:t>
      </w:r>
      <w:r w:rsidRPr="001917DF">
        <w:rPr>
          <w:bdr w:val="none" w:sz="0" w:space="0" w:color="auto" w:frame="1"/>
          <w:lang w:val="en-CA" w:eastAsia="en-CA"/>
        </w:rPr>
        <w:t>s request as March 1, 2022:</w:t>
      </w:r>
    </w:p>
    <w:p w14:paraId="5AC78C12" w14:textId="34D260CF" w:rsidR="001917DF" w:rsidRPr="001917DF" w:rsidRDefault="001917DF" w:rsidP="0079218B">
      <w:pPr>
        <w:rPr>
          <w:rFonts w:cs="Calibri"/>
          <w:color w:val="424242"/>
          <w:lang w:val="en-CA" w:eastAsia="en-CA"/>
        </w:rPr>
      </w:pPr>
      <w:r w:rsidRPr="001917DF">
        <w:rPr>
          <w:bdr w:val="none" w:sz="0" w:space="0" w:color="auto" w:frame="1"/>
          <w:lang w:val="en-CA" w:eastAsia="en-CA"/>
        </w:rPr>
        <w:t>Page 5</w:t>
      </w:r>
      <w:r w:rsidR="007C634A">
        <w:rPr>
          <w:bdr w:val="none" w:sz="0" w:space="0" w:color="auto" w:frame="1"/>
          <w:lang w:val="en-CA" w:eastAsia="en-CA"/>
        </w:rPr>
        <w:t>:</w:t>
      </w:r>
      <w:r w:rsidRPr="001917DF">
        <w:rPr>
          <w:bdr w:val="none" w:sz="0" w:space="0" w:color="auto" w:frame="1"/>
          <w:lang w:val="en-CA" w:eastAsia="en-CA"/>
        </w:rPr>
        <w:t xml:space="preserve"> replaced the following highlighted in yellow below</w:t>
      </w:r>
      <w:r w:rsidR="00045B33">
        <w:rPr>
          <w:bdr w:val="none" w:sz="0" w:space="0" w:color="auto" w:frame="1"/>
          <w:lang w:val="en-CA" w:eastAsia="en-CA"/>
        </w:rPr>
        <w:t>:</w:t>
      </w:r>
    </w:p>
    <w:p w14:paraId="5AC78C13" w14:textId="1F8A8A35" w:rsidR="001917DF" w:rsidRPr="001917DF" w:rsidRDefault="001917DF" w:rsidP="0079218B">
      <w:pPr>
        <w:rPr>
          <w:rFonts w:cs="Calibri"/>
          <w:color w:val="424242"/>
          <w:lang w:val="en-CA" w:eastAsia="en-CA"/>
        </w:rPr>
      </w:pPr>
      <w:r w:rsidRPr="001917DF">
        <w:rPr>
          <w:color w:val="424242"/>
          <w:bdr w:val="none" w:sz="0" w:space="0" w:color="auto" w:frame="1"/>
          <w:shd w:val="clear" w:color="auto" w:fill="FFFF00"/>
          <w:lang w:val="en-CA" w:eastAsia="en-CA"/>
        </w:rPr>
        <w:t>British Columbia</w:t>
      </w:r>
      <w:r w:rsidR="007C634A">
        <w:rPr>
          <w:color w:val="424242"/>
          <w:bdr w:val="none" w:sz="0" w:space="0" w:color="auto" w:frame="1"/>
          <w:shd w:val="clear" w:color="auto" w:fill="FFFF00"/>
          <w:lang w:val="en-CA" w:eastAsia="en-CA"/>
        </w:rPr>
        <w:t xml:space="preserve"> </w:t>
      </w:r>
      <w:r w:rsidRPr="001917DF">
        <w:rPr>
          <w:b/>
          <w:bCs/>
          <w:color w:val="424242"/>
          <w:bdr w:val="none" w:sz="0" w:space="0" w:color="auto" w:frame="1"/>
          <w:shd w:val="clear" w:color="auto" w:fill="FFFF00"/>
          <w:lang w:val="en-CA" w:eastAsia="en-CA"/>
        </w:rPr>
        <w:t>- 10% of Insured Values, subject to a Minimum Deductible of $250,000.</w:t>
      </w:r>
    </w:p>
    <w:p w14:paraId="5AC78C14" w14:textId="0BB8FCB1" w:rsidR="001917DF" w:rsidRPr="001917DF" w:rsidRDefault="001917DF" w:rsidP="0079218B">
      <w:pPr>
        <w:rPr>
          <w:rFonts w:cs="Calibri"/>
          <w:color w:val="424242"/>
          <w:lang w:val="en-CA" w:eastAsia="en-CA"/>
        </w:rPr>
      </w:pPr>
      <w:r w:rsidRPr="001917DF">
        <w:rPr>
          <w:color w:val="424242"/>
          <w:bdr w:val="none" w:sz="0" w:space="0" w:color="auto" w:frame="1"/>
          <w:shd w:val="clear" w:color="auto" w:fill="FFFF00"/>
          <w:lang w:val="en-CA" w:eastAsia="en-CA"/>
        </w:rPr>
        <w:t>All other Province</w:t>
      </w:r>
      <w:r w:rsidR="007C634A">
        <w:rPr>
          <w:color w:val="424242"/>
          <w:bdr w:val="none" w:sz="0" w:space="0" w:color="auto" w:frame="1"/>
          <w:shd w:val="clear" w:color="auto" w:fill="FFFF00"/>
          <w:lang w:val="en-CA" w:eastAsia="en-CA"/>
        </w:rPr>
        <w:t xml:space="preserve">s and Territories </w:t>
      </w:r>
      <w:r w:rsidRPr="001917DF">
        <w:rPr>
          <w:b/>
          <w:bCs/>
          <w:color w:val="424242"/>
          <w:bdr w:val="none" w:sz="0" w:space="0" w:color="auto" w:frame="1"/>
          <w:shd w:val="clear" w:color="auto" w:fill="FFFF00"/>
          <w:lang w:val="en-CA" w:eastAsia="en-CA"/>
        </w:rPr>
        <w:t>-</w:t>
      </w:r>
      <w:r w:rsidR="007C634A">
        <w:rPr>
          <w:b/>
          <w:bCs/>
          <w:color w:val="424242"/>
          <w:bdr w:val="none" w:sz="0" w:space="0" w:color="auto" w:frame="1"/>
          <w:shd w:val="clear" w:color="auto" w:fill="FFFF00"/>
          <w:lang w:val="en-CA" w:eastAsia="en-CA"/>
        </w:rPr>
        <w:t xml:space="preserve"> </w:t>
      </w:r>
      <w:r w:rsidRPr="001917DF">
        <w:rPr>
          <w:b/>
          <w:bCs/>
          <w:color w:val="424242"/>
          <w:bdr w:val="none" w:sz="0" w:space="0" w:color="auto" w:frame="1"/>
          <w:shd w:val="clear" w:color="auto" w:fill="FFFF00"/>
          <w:lang w:val="en-CA" w:eastAsia="en-CA"/>
        </w:rPr>
        <w:t>5% of Insured Values subject to a Minimum Deductible of $100,000.</w:t>
      </w:r>
    </w:p>
    <w:p w14:paraId="5AC78C16" w14:textId="7E0DE6AA" w:rsidR="001917DF" w:rsidRDefault="001917DF" w:rsidP="0079218B">
      <w:pPr>
        <w:rPr>
          <w:bdr w:val="none" w:sz="0" w:space="0" w:color="auto" w:frame="1"/>
          <w:lang w:val="en-CA" w:eastAsia="en-CA"/>
        </w:rPr>
      </w:pPr>
      <w:r w:rsidRPr="001917DF">
        <w:rPr>
          <w:bdr w:val="none" w:sz="0" w:space="0" w:color="auto" w:frame="1"/>
          <w:lang w:val="en-CA" w:eastAsia="en-CA"/>
        </w:rPr>
        <w:t>with the statement below</w:t>
      </w:r>
      <w:r w:rsidR="00875254">
        <w:rPr>
          <w:bdr w:val="none" w:sz="0" w:space="0" w:color="auto" w:frame="1"/>
          <w:lang w:val="en-CA" w:eastAsia="en-CA"/>
        </w:rPr>
        <w:t>.</w:t>
      </w:r>
    </w:p>
    <w:p w14:paraId="34B4B75B" w14:textId="7E05494B" w:rsidR="0060295A" w:rsidRDefault="0060295A" w:rsidP="0074162A">
      <w:pPr>
        <w:pStyle w:val="Heading2"/>
        <w:rPr>
          <w:bdr w:val="none" w:sz="0" w:space="0" w:color="auto" w:frame="1"/>
          <w:lang w:val="en-CA" w:eastAsia="en-CA"/>
        </w:rPr>
      </w:pPr>
      <w:r>
        <w:rPr>
          <w:bdr w:val="none" w:sz="0" w:space="0" w:color="auto" w:frame="1"/>
          <w:lang w:val="en-CA" w:eastAsia="en-CA"/>
        </w:rPr>
        <w:t>Earthquake</w:t>
      </w:r>
      <w:r w:rsidR="00C82AE0">
        <w:rPr>
          <w:bdr w:val="none" w:sz="0" w:space="0" w:color="auto" w:frame="1"/>
          <w:lang w:val="en-CA" w:eastAsia="en-CA"/>
        </w:rPr>
        <w:t>:</w:t>
      </w:r>
    </w:p>
    <w:tbl>
      <w:tblPr>
        <w:tblStyle w:val="TableGrid"/>
        <w:tblW w:w="0" w:type="auto"/>
        <w:tblLook w:val="04A0" w:firstRow="1" w:lastRow="0" w:firstColumn="1" w:lastColumn="0" w:noHBand="0" w:noVBand="1"/>
      </w:tblPr>
      <w:tblGrid>
        <w:gridCol w:w="3438"/>
        <w:gridCol w:w="6138"/>
      </w:tblGrid>
      <w:tr w:rsidR="00282923" w:rsidRPr="00282923" w14:paraId="262DB110" w14:textId="77777777" w:rsidTr="00880E85">
        <w:tc>
          <w:tcPr>
            <w:tcW w:w="3438" w:type="dxa"/>
            <w:shd w:val="clear" w:color="auto" w:fill="000000" w:themeFill="text1"/>
          </w:tcPr>
          <w:p w14:paraId="3B97AD41" w14:textId="31682A32" w:rsidR="007C634A" w:rsidRPr="00282923" w:rsidRDefault="007C634A" w:rsidP="007C634A">
            <w:pPr>
              <w:spacing w:before="60" w:after="60"/>
              <w:rPr>
                <w:b/>
                <w:bCs/>
                <w:color w:val="FFFFFF" w:themeColor="background1"/>
                <w:sz w:val="24"/>
                <w:szCs w:val="24"/>
                <w:lang w:val="en-CA" w:eastAsia="en-CA"/>
              </w:rPr>
            </w:pPr>
            <w:r w:rsidRPr="00282923">
              <w:rPr>
                <w:b/>
                <w:bCs/>
                <w:color w:val="FFFFFF" w:themeColor="background1"/>
                <w:sz w:val="24"/>
                <w:szCs w:val="24"/>
                <w:lang w:val="en-CA" w:eastAsia="en-CA"/>
              </w:rPr>
              <w:t>Coverage</w:t>
            </w:r>
          </w:p>
        </w:tc>
        <w:tc>
          <w:tcPr>
            <w:tcW w:w="6138" w:type="dxa"/>
            <w:shd w:val="clear" w:color="auto" w:fill="000000" w:themeFill="text1"/>
          </w:tcPr>
          <w:p w14:paraId="44DE7B51" w14:textId="2E04CD79" w:rsidR="007C634A" w:rsidRPr="00282923" w:rsidRDefault="007C634A" w:rsidP="00282923">
            <w:pPr>
              <w:spacing w:before="60" w:after="60"/>
              <w:jc w:val="center"/>
              <w:rPr>
                <w:b/>
                <w:bCs/>
                <w:color w:val="FFFFFF" w:themeColor="background1"/>
                <w:sz w:val="24"/>
                <w:szCs w:val="24"/>
                <w:lang w:val="en-CA" w:eastAsia="en-CA"/>
              </w:rPr>
            </w:pPr>
            <w:r w:rsidRPr="00282923">
              <w:rPr>
                <w:b/>
                <w:bCs/>
                <w:color w:val="FFFFFF" w:themeColor="background1"/>
                <w:sz w:val="24"/>
                <w:szCs w:val="24"/>
                <w:lang w:val="en-CA" w:eastAsia="en-CA"/>
              </w:rPr>
              <w:t>Deductible Waiting Period</w:t>
            </w:r>
          </w:p>
        </w:tc>
      </w:tr>
      <w:tr w:rsidR="007C634A" w:rsidRPr="007C634A" w14:paraId="42C6C5E8" w14:textId="77777777" w:rsidTr="00880E85">
        <w:tc>
          <w:tcPr>
            <w:tcW w:w="3438" w:type="dxa"/>
          </w:tcPr>
          <w:p w14:paraId="41EE7619" w14:textId="54DBAD39" w:rsidR="007C634A" w:rsidRPr="007C634A" w:rsidRDefault="00282923" w:rsidP="007C634A">
            <w:pPr>
              <w:spacing w:before="60" w:after="60"/>
              <w:rPr>
                <w:sz w:val="24"/>
                <w:szCs w:val="24"/>
                <w:lang w:val="en-CA" w:eastAsia="en-CA"/>
              </w:rPr>
            </w:pPr>
            <w:r>
              <w:rPr>
                <w:sz w:val="24"/>
                <w:szCs w:val="24"/>
                <w:lang w:val="en-CA" w:eastAsia="en-CA"/>
              </w:rPr>
              <w:t>Earthquake: BC</w:t>
            </w:r>
          </w:p>
        </w:tc>
        <w:tc>
          <w:tcPr>
            <w:tcW w:w="6138" w:type="dxa"/>
          </w:tcPr>
          <w:p w14:paraId="74357B44" w14:textId="4170F0AA" w:rsidR="007C634A" w:rsidRPr="007C634A" w:rsidRDefault="00282923" w:rsidP="00282923">
            <w:pPr>
              <w:spacing w:before="60" w:after="60"/>
              <w:jc w:val="center"/>
              <w:rPr>
                <w:sz w:val="24"/>
                <w:szCs w:val="24"/>
                <w:lang w:val="en-CA" w:eastAsia="en-CA"/>
              </w:rPr>
            </w:pPr>
            <w:r>
              <w:rPr>
                <w:sz w:val="24"/>
                <w:szCs w:val="24"/>
                <w:lang w:val="en-CA" w:eastAsia="en-CA"/>
              </w:rPr>
              <w:t>As per below table.</w:t>
            </w:r>
          </w:p>
        </w:tc>
      </w:tr>
      <w:tr w:rsidR="007C634A" w:rsidRPr="007C634A" w14:paraId="76C424C5" w14:textId="77777777" w:rsidTr="00880E85">
        <w:tc>
          <w:tcPr>
            <w:tcW w:w="3438" w:type="dxa"/>
          </w:tcPr>
          <w:p w14:paraId="5EA325D4" w14:textId="2437F029" w:rsidR="007C634A" w:rsidRPr="007C634A" w:rsidRDefault="00282923" w:rsidP="007C634A">
            <w:pPr>
              <w:spacing w:before="60" w:after="60"/>
              <w:rPr>
                <w:sz w:val="24"/>
                <w:szCs w:val="24"/>
                <w:lang w:val="en-CA" w:eastAsia="en-CA"/>
              </w:rPr>
            </w:pPr>
            <w:r>
              <w:rPr>
                <w:sz w:val="24"/>
                <w:szCs w:val="24"/>
                <w:lang w:val="en-CA" w:eastAsia="en-CA"/>
              </w:rPr>
              <w:t>Earthquake: Quebec</w:t>
            </w:r>
          </w:p>
        </w:tc>
        <w:tc>
          <w:tcPr>
            <w:tcW w:w="6138" w:type="dxa"/>
          </w:tcPr>
          <w:p w14:paraId="33EF19F9" w14:textId="7F5CA64C" w:rsidR="007C634A" w:rsidRPr="007C634A" w:rsidRDefault="00282923" w:rsidP="00282923">
            <w:pPr>
              <w:spacing w:before="60" w:after="60"/>
              <w:jc w:val="center"/>
              <w:rPr>
                <w:sz w:val="24"/>
                <w:szCs w:val="24"/>
                <w:lang w:val="en-CA" w:eastAsia="en-CA"/>
              </w:rPr>
            </w:pPr>
            <w:r>
              <w:rPr>
                <w:sz w:val="24"/>
                <w:szCs w:val="24"/>
                <w:lang w:val="en-CA" w:eastAsia="en-CA"/>
              </w:rPr>
              <w:t>5% of Total Values at Location of Loss subject to a minimum $100,000 per occurrence.</w:t>
            </w:r>
          </w:p>
        </w:tc>
      </w:tr>
      <w:tr w:rsidR="007C634A" w:rsidRPr="007C634A" w14:paraId="2592F04F" w14:textId="77777777" w:rsidTr="00880E85">
        <w:tc>
          <w:tcPr>
            <w:tcW w:w="3438" w:type="dxa"/>
          </w:tcPr>
          <w:p w14:paraId="5DC38610" w14:textId="7B4F521E" w:rsidR="007C634A" w:rsidRPr="007C634A" w:rsidRDefault="00282923" w:rsidP="007C634A">
            <w:pPr>
              <w:spacing w:before="60" w:after="60"/>
              <w:rPr>
                <w:sz w:val="24"/>
                <w:szCs w:val="24"/>
                <w:lang w:val="en-CA" w:eastAsia="en-CA"/>
              </w:rPr>
            </w:pPr>
            <w:r>
              <w:rPr>
                <w:sz w:val="24"/>
                <w:szCs w:val="24"/>
                <w:lang w:val="en-CA" w:eastAsia="en-CA"/>
              </w:rPr>
              <w:t>Earthquake: Other</w:t>
            </w:r>
          </w:p>
        </w:tc>
        <w:tc>
          <w:tcPr>
            <w:tcW w:w="6138" w:type="dxa"/>
          </w:tcPr>
          <w:p w14:paraId="30FAEE41" w14:textId="6061D114" w:rsidR="007C634A" w:rsidRPr="007C634A" w:rsidRDefault="00282923" w:rsidP="00282923">
            <w:pPr>
              <w:spacing w:before="60" w:after="60"/>
              <w:jc w:val="center"/>
              <w:rPr>
                <w:sz w:val="24"/>
                <w:szCs w:val="24"/>
                <w:lang w:val="en-CA" w:eastAsia="en-CA"/>
              </w:rPr>
            </w:pPr>
            <w:r>
              <w:rPr>
                <w:sz w:val="24"/>
                <w:szCs w:val="24"/>
                <w:lang w:val="en-CA" w:eastAsia="en-CA"/>
              </w:rPr>
              <w:t>3% of Total Values at Location of Loss subject to a minimum of $100,000 per Occurrence.</w:t>
            </w:r>
          </w:p>
        </w:tc>
      </w:tr>
      <w:tr w:rsidR="007C634A" w:rsidRPr="007C634A" w14:paraId="78353FFD" w14:textId="77777777" w:rsidTr="00880E85">
        <w:tc>
          <w:tcPr>
            <w:tcW w:w="3438" w:type="dxa"/>
          </w:tcPr>
          <w:p w14:paraId="1119BF20" w14:textId="45450CBB" w:rsidR="007C634A" w:rsidRPr="007C634A" w:rsidRDefault="00282923" w:rsidP="007C634A">
            <w:pPr>
              <w:spacing w:before="60" w:after="60"/>
              <w:rPr>
                <w:sz w:val="24"/>
                <w:szCs w:val="24"/>
                <w:lang w:val="en-CA" w:eastAsia="en-CA"/>
              </w:rPr>
            </w:pPr>
            <w:r>
              <w:rPr>
                <w:sz w:val="24"/>
                <w:szCs w:val="24"/>
                <w:lang w:val="en-CA" w:eastAsia="en-CA"/>
              </w:rPr>
              <w:t>Flood</w:t>
            </w:r>
          </w:p>
        </w:tc>
        <w:tc>
          <w:tcPr>
            <w:tcW w:w="6138" w:type="dxa"/>
          </w:tcPr>
          <w:p w14:paraId="23C5D97C" w14:textId="48CE565A" w:rsidR="007C634A" w:rsidRPr="007C634A" w:rsidRDefault="00282923" w:rsidP="00282923">
            <w:pPr>
              <w:spacing w:before="60" w:after="60"/>
              <w:jc w:val="center"/>
              <w:rPr>
                <w:sz w:val="24"/>
                <w:szCs w:val="24"/>
                <w:lang w:val="en-CA" w:eastAsia="en-CA"/>
              </w:rPr>
            </w:pPr>
            <w:r>
              <w:rPr>
                <w:sz w:val="24"/>
                <w:szCs w:val="24"/>
                <w:lang w:val="en-CA" w:eastAsia="en-CA"/>
              </w:rPr>
              <w:t>Subject to Group Funded Deductible</w:t>
            </w:r>
          </w:p>
        </w:tc>
      </w:tr>
      <w:tr w:rsidR="007C634A" w:rsidRPr="007C634A" w14:paraId="38DF5C3B" w14:textId="77777777" w:rsidTr="00880E85">
        <w:tc>
          <w:tcPr>
            <w:tcW w:w="3438" w:type="dxa"/>
          </w:tcPr>
          <w:p w14:paraId="2DE4B3DD" w14:textId="392D7F75" w:rsidR="007C634A" w:rsidRPr="007C634A" w:rsidRDefault="00282923" w:rsidP="007C634A">
            <w:pPr>
              <w:spacing w:before="60" w:after="60"/>
              <w:rPr>
                <w:sz w:val="24"/>
                <w:szCs w:val="24"/>
                <w:lang w:val="en-CA" w:eastAsia="en-CA"/>
              </w:rPr>
            </w:pPr>
            <w:r>
              <w:rPr>
                <w:sz w:val="24"/>
                <w:szCs w:val="24"/>
                <w:lang w:val="en-CA" w:eastAsia="en-CA"/>
              </w:rPr>
              <w:t>SBU</w:t>
            </w:r>
          </w:p>
        </w:tc>
        <w:tc>
          <w:tcPr>
            <w:tcW w:w="6138" w:type="dxa"/>
          </w:tcPr>
          <w:p w14:paraId="39D4EEF1" w14:textId="4128F0B6" w:rsidR="007C634A" w:rsidRPr="007C634A" w:rsidRDefault="00282923" w:rsidP="00282923">
            <w:pPr>
              <w:spacing w:before="60" w:after="60"/>
              <w:jc w:val="center"/>
              <w:rPr>
                <w:sz w:val="24"/>
                <w:szCs w:val="24"/>
                <w:lang w:val="en-CA" w:eastAsia="en-CA"/>
              </w:rPr>
            </w:pPr>
            <w:r>
              <w:rPr>
                <w:sz w:val="24"/>
                <w:szCs w:val="24"/>
                <w:lang w:val="en-CA" w:eastAsia="en-CA"/>
              </w:rPr>
              <w:t>Subject to Group Funded Deductible</w:t>
            </w:r>
          </w:p>
        </w:tc>
      </w:tr>
      <w:tr w:rsidR="007C634A" w:rsidRPr="007C634A" w14:paraId="6628C01E" w14:textId="77777777" w:rsidTr="00880E85">
        <w:tc>
          <w:tcPr>
            <w:tcW w:w="3438" w:type="dxa"/>
          </w:tcPr>
          <w:p w14:paraId="6BE2249D" w14:textId="2C4A9439" w:rsidR="007C634A" w:rsidRPr="007C634A" w:rsidRDefault="00282923" w:rsidP="007C634A">
            <w:pPr>
              <w:spacing w:before="60" w:after="60"/>
              <w:rPr>
                <w:sz w:val="24"/>
                <w:szCs w:val="24"/>
                <w:lang w:val="en-CA" w:eastAsia="en-CA"/>
              </w:rPr>
            </w:pPr>
            <w:r>
              <w:rPr>
                <w:sz w:val="24"/>
                <w:szCs w:val="24"/>
                <w:lang w:val="en-CA" w:eastAsia="en-CA"/>
              </w:rPr>
              <w:t>Off Premise Power</w:t>
            </w:r>
          </w:p>
        </w:tc>
        <w:tc>
          <w:tcPr>
            <w:tcW w:w="6138" w:type="dxa"/>
          </w:tcPr>
          <w:p w14:paraId="5DA38B6D" w14:textId="656372DB" w:rsidR="007C634A" w:rsidRPr="007C634A" w:rsidRDefault="00282923" w:rsidP="00282923">
            <w:pPr>
              <w:spacing w:before="60" w:after="60"/>
              <w:jc w:val="center"/>
              <w:rPr>
                <w:sz w:val="24"/>
                <w:szCs w:val="24"/>
                <w:lang w:val="en-CA" w:eastAsia="en-CA"/>
              </w:rPr>
            </w:pPr>
            <w:r>
              <w:rPr>
                <w:sz w:val="24"/>
                <w:szCs w:val="24"/>
                <w:lang w:val="en-CA" w:eastAsia="en-CA"/>
              </w:rPr>
              <w:t>24 Hours Waiting Period</w:t>
            </w:r>
          </w:p>
        </w:tc>
      </w:tr>
      <w:tr w:rsidR="007C634A" w:rsidRPr="007C634A" w14:paraId="2DEA13A4" w14:textId="77777777" w:rsidTr="00880E85">
        <w:tc>
          <w:tcPr>
            <w:tcW w:w="3438" w:type="dxa"/>
          </w:tcPr>
          <w:p w14:paraId="445F31D7" w14:textId="2E18B9F7" w:rsidR="007C634A" w:rsidRPr="007C634A" w:rsidRDefault="00282923" w:rsidP="007C634A">
            <w:pPr>
              <w:spacing w:before="60" w:after="60"/>
              <w:rPr>
                <w:sz w:val="24"/>
                <w:szCs w:val="24"/>
                <w:lang w:val="en-CA" w:eastAsia="en-CA"/>
              </w:rPr>
            </w:pPr>
            <w:r>
              <w:rPr>
                <w:sz w:val="24"/>
                <w:szCs w:val="24"/>
                <w:lang w:val="en-CA" w:eastAsia="en-CA"/>
              </w:rPr>
              <w:t>Service Interruption</w:t>
            </w:r>
          </w:p>
        </w:tc>
        <w:tc>
          <w:tcPr>
            <w:tcW w:w="6138" w:type="dxa"/>
          </w:tcPr>
          <w:p w14:paraId="1307D103" w14:textId="62FA67CE" w:rsidR="007C634A" w:rsidRPr="007C634A" w:rsidRDefault="00282923" w:rsidP="00282923">
            <w:pPr>
              <w:spacing w:before="60" w:after="60"/>
              <w:jc w:val="center"/>
              <w:rPr>
                <w:sz w:val="24"/>
                <w:szCs w:val="24"/>
                <w:lang w:val="en-CA" w:eastAsia="en-CA"/>
              </w:rPr>
            </w:pPr>
            <w:r>
              <w:rPr>
                <w:sz w:val="24"/>
                <w:szCs w:val="24"/>
                <w:lang w:val="en-CA" w:eastAsia="en-CA"/>
              </w:rPr>
              <w:t>24 Hours Waiting Period</w:t>
            </w:r>
          </w:p>
        </w:tc>
      </w:tr>
      <w:tr w:rsidR="007C634A" w:rsidRPr="007C634A" w14:paraId="0AD835A3" w14:textId="77777777" w:rsidTr="00880E85">
        <w:tc>
          <w:tcPr>
            <w:tcW w:w="3438" w:type="dxa"/>
          </w:tcPr>
          <w:p w14:paraId="08005339" w14:textId="29BC13AB" w:rsidR="007C634A" w:rsidRPr="007C634A" w:rsidRDefault="00282923" w:rsidP="007C634A">
            <w:pPr>
              <w:spacing w:before="60" w:after="60"/>
              <w:rPr>
                <w:sz w:val="24"/>
                <w:szCs w:val="24"/>
                <w:lang w:val="en-CA" w:eastAsia="en-CA"/>
              </w:rPr>
            </w:pPr>
            <w:r>
              <w:rPr>
                <w:sz w:val="24"/>
                <w:szCs w:val="24"/>
                <w:lang w:val="en-CA" w:eastAsia="en-CA"/>
              </w:rPr>
              <w:t>All other Risk</w:t>
            </w:r>
          </w:p>
        </w:tc>
        <w:tc>
          <w:tcPr>
            <w:tcW w:w="6138" w:type="dxa"/>
          </w:tcPr>
          <w:p w14:paraId="0F85609E" w14:textId="554DDAA3" w:rsidR="007C634A" w:rsidRPr="007C634A" w:rsidRDefault="00282923" w:rsidP="00282923">
            <w:pPr>
              <w:spacing w:before="60" w:after="60"/>
              <w:jc w:val="center"/>
              <w:rPr>
                <w:sz w:val="24"/>
                <w:szCs w:val="24"/>
                <w:lang w:val="en-CA" w:eastAsia="en-CA"/>
              </w:rPr>
            </w:pPr>
            <w:r>
              <w:rPr>
                <w:sz w:val="24"/>
                <w:szCs w:val="24"/>
                <w:lang w:val="en-CA" w:eastAsia="en-CA"/>
              </w:rPr>
              <w:t>Subject to Group Funded Deductible</w:t>
            </w:r>
          </w:p>
        </w:tc>
      </w:tr>
    </w:tbl>
    <w:p w14:paraId="6368A53A" w14:textId="77777777" w:rsidR="007C634A" w:rsidRDefault="007C634A" w:rsidP="0079218B">
      <w:pPr>
        <w:rPr>
          <w:rFonts w:cs="Calibri"/>
          <w:color w:val="424242"/>
          <w:lang w:val="en-CA" w:eastAsia="en-CA"/>
        </w:rPr>
      </w:pPr>
    </w:p>
    <w:p w14:paraId="2A8C3C01" w14:textId="67FF23CF" w:rsidR="00C82AE0" w:rsidRPr="00C82AE0" w:rsidRDefault="00C82AE0" w:rsidP="00C82AE0">
      <w:pPr>
        <w:pStyle w:val="Heading2"/>
        <w:rPr>
          <w:bdr w:val="none" w:sz="0" w:space="0" w:color="auto" w:frame="1"/>
          <w:lang w:val="en-CA" w:eastAsia="en-CA"/>
        </w:rPr>
      </w:pPr>
      <w:r>
        <w:rPr>
          <w:bdr w:val="none" w:sz="0" w:space="0" w:color="auto" w:frame="1"/>
          <w:lang w:val="en-CA" w:eastAsia="en-CA"/>
        </w:rPr>
        <w:t>Earthquake BC Percentage:</w:t>
      </w:r>
    </w:p>
    <w:tbl>
      <w:tblPr>
        <w:tblStyle w:val="TableGrid"/>
        <w:tblW w:w="0" w:type="auto"/>
        <w:tblLook w:val="04A0" w:firstRow="1" w:lastRow="0" w:firstColumn="1" w:lastColumn="0" w:noHBand="0" w:noVBand="1"/>
      </w:tblPr>
      <w:tblGrid>
        <w:gridCol w:w="2088"/>
        <w:gridCol w:w="3780"/>
        <w:gridCol w:w="3708"/>
      </w:tblGrid>
      <w:tr w:rsidR="00FB4CF0" w:rsidRPr="00880E85" w14:paraId="611664D9" w14:textId="77777777" w:rsidTr="00880E85">
        <w:trPr>
          <w:trHeight w:val="204"/>
        </w:trPr>
        <w:tc>
          <w:tcPr>
            <w:tcW w:w="2088" w:type="dxa"/>
            <w:vMerge w:val="restart"/>
            <w:shd w:val="clear" w:color="auto" w:fill="F2F2F2" w:themeFill="background1" w:themeFillShade="F2"/>
          </w:tcPr>
          <w:p w14:paraId="08A4A56E" w14:textId="2B2D36B7" w:rsidR="00FB4CF0" w:rsidRPr="00880E85" w:rsidRDefault="00FB4CF0" w:rsidP="00880E85">
            <w:pPr>
              <w:spacing w:before="60" w:after="60"/>
              <w:jc w:val="center"/>
              <w:rPr>
                <w:rFonts w:cs="Calibri"/>
                <w:b/>
                <w:bCs/>
                <w:color w:val="424242"/>
                <w:sz w:val="24"/>
                <w:szCs w:val="24"/>
                <w:lang w:val="en-CA" w:eastAsia="en-CA"/>
              </w:rPr>
            </w:pPr>
            <w:r w:rsidRPr="00880E85">
              <w:rPr>
                <w:rFonts w:cs="Calibri"/>
                <w:b/>
                <w:bCs/>
                <w:color w:val="424242"/>
                <w:sz w:val="24"/>
                <w:szCs w:val="24"/>
                <w:lang w:val="en-CA" w:eastAsia="en-CA"/>
              </w:rPr>
              <w:t>Territory</w:t>
            </w:r>
          </w:p>
        </w:tc>
        <w:tc>
          <w:tcPr>
            <w:tcW w:w="7488" w:type="dxa"/>
            <w:gridSpan w:val="2"/>
            <w:shd w:val="clear" w:color="auto" w:fill="F2F2F2" w:themeFill="background1" w:themeFillShade="F2"/>
          </w:tcPr>
          <w:p w14:paraId="3EE48D88" w14:textId="45EC5117" w:rsidR="00FB4CF0" w:rsidRPr="00880E85" w:rsidRDefault="00FB4CF0" w:rsidP="00C82AE0">
            <w:pPr>
              <w:spacing w:before="60" w:after="60"/>
              <w:rPr>
                <w:rFonts w:cs="Calibri"/>
                <w:b/>
                <w:bCs/>
                <w:color w:val="424242"/>
                <w:sz w:val="24"/>
                <w:szCs w:val="24"/>
                <w:lang w:val="en-CA" w:eastAsia="en-CA"/>
              </w:rPr>
            </w:pPr>
            <w:r w:rsidRPr="00880E85">
              <w:rPr>
                <w:rFonts w:cs="Calibri"/>
                <w:b/>
                <w:bCs/>
                <w:color w:val="424242"/>
                <w:sz w:val="24"/>
                <w:szCs w:val="24"/>
                <w:lang w:val="en-CA" w:eastAsia="en-CA"/>
              </w:rPr>
              <w:t>Construction Classes</w:t>
            </w:r>
          </w:p>
        </w:tc>
      </w:tr>
      <w:tr w:rsidR="00FB4CF0" w:rsidRPr="00880E85" w14:paraId="480531AE" w14:textId="77777777" w:rsidTr="00880E85">
        <w:trPr>
          <w:trHeight w:val="204"/>
        </w:trPr>
        <w:tc>
          <w:tcPr>
            <w:tcW w:w="2088" w:type="dxa"/>
            <w:vMerge/>
            <w:shd w:val="clear" w:color="auto" w:fill="D9D9D9" w:themeFill="background1" w:themeFillShade="D9"/>
          </w:tcPr>
          <w:p w14:paraId="67578FC6" w14:textId="77777777" w:rsidR="00FB4CF0" w:rsidRPr="00880E85" w:rsidRDefault="00FB4CF0" w:rsidP="00C82AE0">
            <w:pPr>
              <w:spacing w:before="60" w:after="60"/>
              <w:rPr>
                <w:rFonts w:cs="Calibri"/>
                <w:b/>
                <w:bCs/>
                <w:color w:val="424242"/>
                <w:szCs w:val="24"/>
                <w:lang w:val="en-CA" w:eastAsia="en-CA"/>
              </w:rPr>
            </w:pPr>
          </w:p>
        </w:tc>
        <w:tc>
          <w:tcPr>
            <w:tcW w:w="3780" w:type="dxa"/>
            <w:shd w:val="clear" w:color="auto" w:fill="D9D9D9" w:themeFill="background1" w:themeFillShade="D9"/>
          </w:tcPr>
          <w:p w14:paraId="29D2CA6F" w14:textId="77777777" w:rsidR="00FB4CF0" w:rsidRPr="00880E85" w:rsidRDefault="00FB4CF0" w:rsidP="00FB4CF0">
            <w:pPr>
              <w:spacing w:before="60" w:after="60"/>
              <w:jc w:val="center"/>
              <w:rPr>
                <w:rFonts w:cs="Calibri"/>
                <w:b/>
                <w:bCs/>
                <w:color w:val="424242"/>
                <w:szCs w:val="24"/>
                <w:lang w:val="en-CA" w:eastAsia="en-CA"/>
              </w:rPr>
            </w:pPr>
            <w:r w:rsidRPr="00880E85">
              <w:rPr>
                <w:rFonts w:cs="Calibri"/>
                <w:b/>
                <w:bCs/>
                <w:color w:val="424242"/>
                <w:sz w:val="24"/>
                <w:szCs w:val="24"/>
                <w:lang w:val="en-CA" w:eastAsia="en-CA"/>
              </w:rPr>
              <w:t>1 - 2 - 3 - 4 - 5 - 6</w:t>
            </w:r>
          </w:p>
        </w:tc>
        <w:tc>
          <w:tcPr>
            <w:tcW w:w="3708" w:type="dxa"/>
            <w:shd w:val="clear" w:color="auto" w:fill="D9D9D9" w:themeFill="background1" w:themeFillShade="D9"/>
          </w:tcPr>
          <w:p w14:paraId="25339C70" w14:textId="1ACB638A" w:rsidR="00FB4CF0" w:rsidRPr="00880E85" w:rsidRDefault="00FB4CF0" w:rsidP="00FB4CF0">
            <w:pPr>
              <w:spacing w:before="60" w:after="60"/>
              <w:jc w:val="center"/>
              <w:rPr>
                <w:rFonts w:cs="Calibri"/>
                <w:b/>
                <w:bCs/>
                <w:color w:val="424242"/>
                <w:sz w:val="24"/>
                <w:szCs w:val="24"/>
                <w:lang w:val="en-CA" w:eastAsia="en-CA"/>
              </w:rPr>
            </w:pPr>
            <w:r w:rsidRPr="00880E85">
              <w:rPr>
                <w:rFonts w:cs="Calibri"/>
                <w:b/>
                <w:bCs/>
                <w:color w:val="424242"/>
                <w:sz w:val="24"/>
                <w:szCs w:val="24"/>
                <w:lang w:val="en-CA" w:eastAsia="en-CA"/>
              </w:rPr>
              <w:t>4 - Masonry</w:t>
            </w:r>
          </w:p>
        </w:tc>
      </w:tr>
      <w:tr w:rsidR="00FB4CF0" w14:paraId="680B84B3" w14:textId="77777777" w:rsidTr="00880E85">
        <w:tc>
          <w:tcPr>
            <w:tcW w:w="2088" w:type="dxa"/>
          </w:tcPr>
          <w:p w14:paraId="3327B119" w14:textId="07B65384" w:rsidR="00FB4CF0" w:rsidRPr="00C82AE0" w:rsidRDefault="00FB4CF0" w:rsidP="00C82AE0">
            <w:pPr>
              <w:spacing w:before="60" w:after="60"/>
              <w:rPr>
                <w:rFonts w:cs="Calibri"/>
                <w:color w:val="424242"/>
                <w:sz w:val="24"/>
                <w:szCs w:val="24"/>
                <w:lang w:val="en-CA" w:eastAsia="en-CA"/>
              </w:rPr>
            </w:pPr>
            <w:r>
              <w:rPr>
                <w:rFonts w:cs="Calibri"/>
                <w:color w:val="424242"/>
                <w:sz w:val="24"/>
                <w:szCs w:val="24"/>
                <w:lang w:val="en-CA" w:eastAsia="en-CA"/>
              </w:rPr>
              <w:t>8</w:t>
            </w:r>
          </w:p>
        </w:tc>
        <w:tc>
          <w:tcPr>
            <w:tcW w:w="3780" w:type="dxa"/>
            <w:vMerge w:val="restart"/>
          </w:tcPr>
          <w:p w14:paraId="14C1E4E0" w14:textId="6D8D7D8F" w:rsidR="00FB4CF0" w:rsidRPr="00C82AE0" w:rsidRDefault="00FB4CF0" w:rsidP="00FB4CF0">
            <w:pPr>
              <w:spacing w:before="60" w:after="60"/>
              <w:jc w:val="center"/>
              <w:rPr>
                <w:rFonts w:cs="Calibri"/>
                <w:color w:val="424242"/>
                <w:sz w:val="24"/>
                <w:szCs w:val="24"/>
                <w:lang w:val="en-CA" w:eastAsia="en-CA"/>
              </w:rPr>
            </w:pPr>
            <w:r>
              <w:rPr>
                <w:rFonts w:cs="Calibri"/>
                <w:color w:val="424242"/>
                <w:sz w:val="24"/>
                <w:szCs w:val="24"/>
                <w:lang w:val="en-CA" w:eastAsia="en-CA"/>
              </w:rPr>
              <w:t>20%</w:t>
            </w:r>
          </w:p>
        </w:tc>
        <w:tc>
          <w:tcPr>
            <w:tcW w:w="3708" w:type="dxa"/>
            <w:vMerge w:val="restart"/>
          </w:tcPr>
          <w:p w14:paraId="6D762237" w14:textId="2888E5E6" w:rsidR="00FB4CF0" w:rsidRPr="00C82AE0" w:rsidRDefault="00FB4CF0" w:rsidP="00FB4CF0">
            <w:pPr>
              <w:spacing w:before="60" w:after="60"/>
              <w:jc w:val="center"/>
              <w:rPr>
                <w:rFonts w:cs="Calibri"/>
                <w:color w:val="424242"/>
                <w:sz w:val="24"/>
                <w:szCs w:val="24"/>
                <w:lang w:val="en-CA" w:eastAsia="en-CA"/>
              </w:rPr>
            </w:pPr>
            <w:r>
              <w:rPr>
                <w:rFonts w:cs="Calibri"/>
                <w:color w:val="424242"/>
                <w:sz w:val="24"/>
                <w:szCs w:val="24"/>
                <w:lang w:val="en-CA" w:eastAsia="en-CA"/>
              </w:rPr>
              <w:t>25%</w:t>
            </w:r>
          </w:p>
        </w:tc>
      </w:tr>
      <w:tr w:rsidR="00FB4CF0" w14:paraId="54834A68" w14:textId="77777777" w:rsidTr="00880E85">
        <w:tc>
          <w:tcPr>
            <w:tcW w:w="2088" w:type="dxa"/>
          </w:tcPr>
          <w:p w14:paraId="09580A56" w14:textId="78AEB322" w:rsidR="00FB4CF0" w:rsidRPr="00C82AE0" w:rsidRDefault="00FB4CF0" w:rsidP="00C82AE0">
            <w:pPr>
              <w:spacing w:before="60" w:after="60"/>
              <w:rPr>
                <w:rFonts w:cs="Calibri"/>
                <w:color w:val="424242"/>
                <w:sz w:val="24"/>
                <w:szCs w:val="24"/>
                <w:lang w:val="en-CA" w:eastAsia="en-CA"/>
              </w:rPr>
            </w:pPr>
            <w:r>
              <w:rPr>
                <w:rFonts w:cs="Calibri"/>
                <w:color w:val="424242"/>
                <w:sz w:val="24"/>
                <w:szCs w:val="24"/>
                <w:lang w:val="en-CA" w:eastAsia="en-CA"/>
              </w:rPr>
              <w:t>7</w:t>
            </w:r>
          </w:p>
        </w:tc>
        <w:tc>
          <w:tcPr>
            <w:tcW w:w="3780" w:type="dxa"/>
            <w:vMerge/>
          </w:tcPr>
          <w:p w14:paraId="11914037" w14:textId="77777777" w:rsidR="00FB4CF0" w:rsidRPr="00C82AE0" w:rsidRDefault="00FB4CF0" w:rsidP="00C82AE0">
            <w:pPr>
              <w:spacing w:before="60" w:after="60"/>
              <w:rPr>
                <w:rFonts w:cs="Calibri"/>
                <w:color w:val="424242"/>
                <w:sz w:val="24"/>
                <w:szCs w:val="24"/>
                <w:lang w:val="en-CA" w:eastAsia="en-CA"/>
              </w:rPr>
            </w:pPr>
          </w:p>
        </w:tc>
        <w:tc>
          <w:tcPr>
            <w:tcW w:w="3708" w:type="dxa"/>
            <w:vMerge/>
          </w:tcPr>
          <w:p w14:paraId="0C592F96" w14:textId="77777777" w:rsidR="00FB4CF0" w:rsidRPr="00C82AE0" w:rsidRDefault="00FB4CF0" w:rsidP="00C82AE0">
            <w:pPr>
              <w:spacing w:before="60" w:after="60"/>
              <w:rPr>
                <w:rFonts w:cs="Calibri"/>
                <w:color w:val="424242"/>
                <w:sz w:val="24"/>
                <w:szCs w:val="24"/>
                <w:lang w:val="en-CA" w:eastAsia="en-CA"/>
              </w:rPr>
            </w:pPr>
          </w:p>
        </w:tc>
      </w:tr>
      <w:tr w:rsidR="00C82AE0" w14:paraId="0CCA21AA" w14:textId="77777777" w:rsidTr="00880E85">
        <w:tc>
          <w:tcPr>
            <w:tcW w:w="2088" w:type="dxa"/>
          </w:tcPr>
          <w:p w14:paraId="4BCA6B78" w14:textId="611B2ACB" w:rsidR="00C82AE0" w:rsidRPr="00C82AE0" w:rsidRDefault="00FB4CF0" w:rsidP="00C82AE0">
            <w:pPr>
              <w:spacing w:before="60" w:after="60"/>
              <w:rPr>
                <w:rFonts w:cs="Calibri"/>
                <w:color w:val="424242"/>
                <w:sz w:val="24"/>
                <w:szCs w:val="24"/>
                <w:lang w:val="en-CA" w:eastAsia="en-CA"/>
              </w:rPr>
            </w:pPr>
            <w:r>
              <w:rPr>
                <w:rFonts w:cs="Calibri"/>
                <w:color w:val="424242"/>
                <w:sz w:val="24"/>
                <w:szCs w:val="24"/>
                <w:lang w:val="en-CA" w:eastAsia="en-CA"/>
              </w:rPr>
              <w:t>6</w:t>
            </w:r>
          </w:p>
        </w:tc>
        <w:tc>
          <w:tcPr>
            <w:tcW w:w="3780" w:type="dxa"/>
          </w:tcPr>
          <w:p w14:paraId="2F89C5D1" w14:textId="606755D8" w:rsidR="00C82AE0" w:rsidRPr="00C82AE0" w:rsidRDefault="00A4683A" w:rsidP="00A4683A">
            <w:pPr>
              <w:spacing w:before="60" w:after="60"/>
              <w:jc w:val="center"/>
              <w:rPr>
                <w:rFonts w:cs="Calibri"/>
                <w:color w:val="424242"/>
                <w:sz w:val="24"/>
                <w:szCs w:val="24"/>
                <w:lang w:val="en-CA" w:eastAsia="en-CA"/>
              </w:rPr>
            </w:pPr>
            <w:r>
              <w:rPr>
                <w:rFonts w:cs="Calibri"/>
                <w:color w:val="424242"/>
                <w:sz w:val="24"/>
                <w:szCs w:val="24"/>
                <w:lang w:val="en-CA" w:eastAsia="en-CA"/>
              </w:rPr>
              <w:t>15%</w:t>
            </w:r>
          </w:p>
        </w:tc>
        <w:tc>
          <w:tcPr>
            <w:tcW w:w="3708" w:type="dxa"/>
          </w:tcPr>
          <w:p w14:paraId="5376B9FE" w14:textId="22CC9197" w:rsidR="00C82AE0" w:rsidRPr="00C82AE0" w:rsidRDefault="00A4683A" w:rsidP="00A4683A">
            <w:pPr>
              <w:spacing w:before="60" w:after="60"/>
              <w:jc w:val="center"/>
              <w:rPr>
                <w:rFonts w:cs="Calibri"/>
                <w:color w:val="424242"/>
                <w:sz w:val="24"/>
                <w:szCs w:val="24"/>
                <w:lang w:val="en-CA" w:eastAsia="en-CA"/>
              </w:rPr>
            </w:pPr>
            <w:r>
              <w:rPr>
                <w:rFonts w:cs="Calibri"/>
                <w:color w:val="424242"/>
                <w:sz w:val="24"/>
                <w:szCs w:val="24"/>
                <w:lang w:val="en-CA" w:eastAsia="en-CA"/>
              </w:rPr>
              <w:t>20%</w:t>
            </w:r>
          </w:p>
        </w:tc>
      </w:tr>
      <w:tr w:rsidR="00A4683A" w14:paraId="5FFCEEEE" w14:textId="77777777" w:rsidTr="00880E85">
        <w:tc>
          <w:tcPr>
            <w:tcW w:w="2088" w:type="dxa"/>
          </w:tcPr>
          <w:p w14:paraId="6F58FAEB" w14:textId="6A4588EE" w:rsidR="00A4683A" w:rsidRPr="00C82AE0" w:rsidRDefault="00A4683A" w:rsidP="00C82AE0">
            <w:pPr>
              <w:spacing w:before="60" w:after="60"/>
              <w:rPr>
                <w:rFonts w:cs="Calibri"/>
                <w:color w:val="424242"/>
                <w:sz w:val="24"/>
                <w:szCs w:val="24"/>
                <w:lang w:val="en-CA" w:eastAsia="en-CA"/>
              </w:rPr>
            </w:pPr>
            <w:r>
              <w:rPr>
                <w:rFonts w:cs="Calibri"/>
                <w:color w:val="424242"/>
                <w:sz w:val="24"/>
                <w:szCs w:val="24"/>
                <w:lang w:val="en-CA" w:eastAsia="en-CA"/>
              </w:rPr>
              <w:t>5</w:t>
            </w:r>
          </w:p>
        </w:tc>
        <w:tc>
          <w:tcPr>
            <w:tcW w:w="3780" w:type="dxa"/>
            <w:vMerge w:val="restart"/>
          </w:tcPr>
          <w:p w14:paraId="439EF1BF" w14:textId="0D87180C" w:rsidR="00A4683A" w:rsidRPr="00C82AE0" w:rsidRDefault="00A4683A" w:rsidP="00A4683A">
            <w:pPr>
              <w:spacing w:before="60" w:after="60"/>
              <w:jc w:val="center"/>
              <w:rPr>
                <w:rFonts w:cs="Calibri"/>
                <w:color w:val="424242"/>
                <w:sz w:val="24"/>
                <w:szCs w:val="24"/>
                <w:lang w:val="en-CA" w:eastAsia="en-CA"/>
              </w:rPr>
            </w:pPr>
            <w:r>
              <w:rPr>
                <w:rFonts w:cs="Calibri"/>
                <w:color w:val="424242"/>
                <w:sz w:val="24"/>
                <w:szCs w:val="24"/>
                <w:lang w:val="en-CA" w:eastAsia="en-CA"/>
              </w:rPr>
              <w:t>15%</w:t>
            </w:r>
          </w:p>
        </w:tc>
        <w:tc>
          <w:tcPr>
            <w:tcW w:w="3708" w:type="dxa"/>
            <w:vMerge w:val="restart"/>
          </w:tcPr>
          <w:p w14:paraId="43AD0746" w14:textId="34AAD771" w:rsidR="00A4683A" w:rsidRPr="00C82AE0" w:rsidRDefault="00A4683A" w:rsidP="00A4683A">
            <w:pPr>
              <w:spacing w:before="60" w:after="60"/>
              <w:jc w:val="center"/>
              <w:rPr>
                <w:rFonts w:cs="Calibri"/>
                <w:color w:val="424242"/>
                <w:sz w:val="24"/>
                <w:szCs w:val="24"/>
                <w:lang w:val="en-CA" w:eastAsia="en-CA"/>
              </w:rPr>
            </w:pPr>
            <w:r>
              <w:rPr>
                <w:rFonts w:cs="Calibri"/>
                <w:color w:val="424242"/>
                <w:sz w:val="24"/>
                <w:szCs w:val="24"/>
                <w:lang w:val="en-CA" w:eastAsia="en-CA"/>
              </w:rPr>
              <w:t>15%</w:t>
            </w:r>
          </w:p>
        </w:tc>
      </w:tr>
      <w:tr w:rsidR="00A4683A" w14:paraId="0020F965" w14:textId="77777777" w:rsidTr="00880E85">
        <w:tc>
          <w:tcPr>
            <w:tcW w:w="2088" w:type="dxa"/>
          </w:tcPr>
          <w:p w14:paraId="05670CE3" w14:textId="08A314D7" w:rsidR="00A4683A" w:rsidRPr="00C82AE0" w:rsidRDefault="00A4683A" w:rsidP="00C82AE0">
            <w:pPr>
              <w:spacing w:before="60" w:after="60"/>
              <w:rPr>
                <w:rFonts w:cs="Calibri"/>
                <w:color w:val="424242"/>
                <w:sz w:val="24"/>
                <w:szCs w:val="24"/>
                <w:lang w:val="en-CA" w:eastAsia="en-CA"/>
              </w:rPr>
            </w:pPr>
            <w:r>
              <w:rPr>
                <w:rFonts w:cs="Calibri"/>
                <w:color w:val="424242"/>
                <w:sz w:val="24"/>
                <w:szCs w:val="24"/>
                <w:lang w:val="en-CA" w:eastAsia="en-CA"/>
              </w:rPr>
              <w:t>4</w:t>
            </w:r>
          </w:p>
        </w:tc>
        <w:tc>
          <w:tcPr>
            <w:tcW w:w="3780" w:type="dxa"/>
            <w:vMerge/>
          </w:tcPr>
          <w:p w14:paraId="5D660D92" w14:textId="77777777" w:rsidR="00A4683A" w:rsidRPr="00C82AE0" w:rsidRDefault="00A4683A" w:rsidP="00C82AE0">
            <w:pPr>
              <w:spacing w:before="60" w:after="60"/>
              <w:rPr>
                <w:rFonts w:cs="Calibri"/>
                <w:color w:val="424242"/>
                <w:sz w:val="24"/>
                <w:szCs w:val="24"/>
                <w:lang w:val="en-CA" w:eastAsia="en-CA"/>
              </w:rPr>
            </w:pPr>
          </w:p>
        </w:tc>
        <w:tc>
          <w:tcPr>
            <w:tcW w:w="3708" w:type="dxa"/>
            <w:vMerge/>
          </w:tcPr>
          <w:p w14:paraId="2F238137" w14:textId="77777777" w:rsidR="00A4683A" w:rsidRPr="00C82AE0" w:rsidRDefault="00A4683A" w:rsidP="00C82AE0">
            <w:pPr>
              <w:spacing w:before="60" w:after="60"/>
              <w:rPr>
                <w:rFonts w:cs="Calibri"/>
                <w:color w:val="424242"/>
                <w:sz w:val="24"/>
                <w:szCs w:val="24"/>
                <w:lang w:val="en-CA" w:eastAsia="en-CA"/>
              </w:rPr>
            </w:pPr>
          </w:p>
        </w:tc>
      </w:tr>
      <w:tr w:rsidR="00A4683A" w14:paraId="1EA5F9F7" w14:textId="77777777" w:rsidTr="00880E85">
        <w:tc>
          <w:tcPr>
            <w:tcW w:w="2088" w:type="dxa"/>
          </w:tcPr>
          <w:p w14:paraId="477788CF" w14:textId="736331AD" w:rsidR="00A4683A" w:rsidRPr="00C82AE0" w:rsidRDefault="00A4683A" w:rsidP="00C82AE0">
            <w:pPr>
              <w:spacing w:before="60" w:after="60"/>
              <w:rPr>
                <w:rFonts w:cs="Calibri"/>
                <w:color w:val="424242"/>
                <w:sz w:val="24"/>
                <w:szCs w:val="24"/>
                <w:lang w:val="en-CA" w:eastAsia="en-CA"/>
              </w:rPr>
            </w:pPr>
            <w:r>
              <w:rPr>
                <w:rFonts w:cs="Calibri"/>
                <w:color w:val="424242"/>
                <w:sz w:val="24"/>
                <w:szCs w:val="24"/>
                <w:lang w:val="en-CA" w:eastAsia="en-CA"/>
              </w:rPr>
              <w:lastRenderedPageBreak/>
              <w:t>3</w:t>
            </w:r>
          </w:p>
        </w:tc>
        <w:tc>
          <w:tcPr>
            <w:tcW w:w="3780" w:type="dxa"/>
            <w:vMerge/>
          </w:tcPr>
          <w:p w14:paraId="4FC84E88" w14:textId="77777777" w:rsidR="00A4683A" w:rsidRPr="00C82AE0" w:rsidRDefault="00A4683A" w:rsidP="00C82AE0">
            <w:pPr>
              <w:spacing w:before="60" w:after="60"/>
              <w:rPr>
                <w:rFonts w:cs="Calibri"/>
                <w:color w:val="424242"/>
                <w:sz w:val="24"/>
                <w:szCs w:val="24"/>
                <w:lang w:val="en-CA" w:eastAsia="en-CA"/>
              </w:rPr>
            </w:pPr>
          </w:p>
        </w:tc>
        <w:tc>
          <w:tcPr>
            <w:tcW w:w="3708" w:type="dxa"/>
            <w:vMerge/>
          </w:tcPr>
          <w:p w14:paraId="52799DC2" w14:textId="77777777" w:rsidR="00A4683A" w:rsidRPr="00C82AE0" w:rsidRDefault="00A4683A" w:rsidP="00C82AE0">
            <w:pPr>
              <w:spacing w:before="60" w:after="60"/>
              <w:rPr>
                <w:rFonts w:cs="Calibri"/>
                <w:color w:val="424242"/>
                <w:sz w:val="24"/>
                <w:szCs w:val="24"/>
                <w:lang w:val="en-CA" w:eastAsia="en-CA"/>
              </w:rPr>
            </w:pPr>
          </w:p>
        </w:tc>
      </w:tr>
      <w:tr w:rsidR="00A4683A" w14:paraId="711955B4" w14:textId="77777777" w:rsidTr="00880E85">
        <w:tc>
          <w:tcPr>
            <w:tcW w:w="2088" w:type="dxa"/>
          </w:tcPr>
          <w:p w14:paraId="60732E14" w14:textId="3F75B52E" w:rsidR="00A4683A" w:rsidRPr="00C82AE0" w:rsidRDefault="00A4683A" w:rsidP="00C82AE0">
            <w:pPr>
              <w:spacing w:before="60" w:after="60"/>
              <w:rPr>
                <w:rFonts w:cs="Calibri"/>
                <w:color w:val="424242"/>
                <w:sz w:val="24"/>
                <w:szCs w:val="24"/>
                <w:lang w:val="en-CA" w:eastAsia="en-CA"/>
              </w:rPr>
            </w:pPr>
            <w:r>
              <w:rPr>
                <w:rFonts w:cs="Calibri"/>
                <w:color w:val="424242"/>
                <w:sz w:val="24"/>
                <w:szCs w:val="24"/>
                <w:lang w:val="en-CA" w:eastAsia="en-CA"/>
              </w:rPr>
              <w:t>2</w:t>
            </w:r>
          </w:p>
        </w:tc>
        <w:tc>
          <w:tcPr>
            <w:tcW w:w="3780" w:type="dxa"/>
            <w:vMerge/>
          </w:tcPr>
          <w:p w14:paraId="3DBB9BB1" w14:textId="77777777" w:rsidR="00A4683A" w:rsidRPr="00C82AE0" w:rsidRDefault="00A4683A" w:rsidP="00C82AE0">
            <w:pPr>
              <w:spacing w:before="60" w:after="60"/>
              <w:rPr>
                <w:rFonts w:cs="Calibri"/>
                <w:color w:val="424242"/>
                <w:sz w:val="24"/>
                <w:szCs w:val="24"/>
                <w:lang w:val="en-CA" w:eastAsia="en-CA"/>
              </w:rPr>
            </w:pPr>
          </w:p>
        </w:tc>
        <w:tc>
          <w:tcPr>
            <w:tcW w:w="3708" w:type="dxa"/>
            <w:vMerge/>
          </w:tcPr>
          <w:p w14:paraId="6150BAC1" w14:textId="77777777" w:rsidR="00A4683A" w:rsidRPr="00C82AE0" w:rsidRDefault="00A4683A" w:rsidP="00C82AE0">
            <w:pPr>
              <w:spacing w:before="60" w:after="60"/>
              <w:rPr>
                <w:rFonts w:cs="Calibri"/>
                <w:color w:val="424242"/>
                <w:sz w:val="24"/>
                <w:szCs w:val="24"/>
                <w:lang w:val="en-CA" w:eastAsia="en-CA"/>
              </w:rPr>
            </w:pPr>
          </w:p>
        </w:tc>
      </w:tr>
      <w:tr w:rsidR="00C82AE0" w14:paraId="3BF34419" w14:textId="77777777" w:rsidTr="00880E85">
        <w:tc>
          <w:tcPr>
            <w:tcW w:w="2088" w:type="dxa"/>
          </w:tcPr>
          <w:p w14:paraId="3A11EBB4" w14:textId="21B47EF4" w:rsidR="00C82AE0" w:rsidRPr="00C82AE0" w:rsidRDefault="00FB4CF0" w:rsidP="00C82AE0">
            <w:pPr>
              <w:spacing w:before="60" w:after="60"/>
              <w:rPr>
                <w:rFonts w:cs="Calibri"/>
                <w:color w:val="424242"/>
                <w:sz w:val="24"/>
                <w:szCs w:val="24"/>
                <w:lang w:val="en-CA" w:eastAsia="en-CA"/>
              </w:rPr>
            </w:pPr>
            <w:r>
              <w:rPr>
                <w:rFonts w:cs="Calibri"/>
                <w:color w:val="424242"/>
                <w:sz w:val="24"/>
                <w:szCs w:val="24"/>
                <w:lang w:val="en-CA" w:eastAsia="en-CA"/>
              </w:rPr>
              <w:t>1</w:t>
            </w:r>
          </w:p>
        </w:tc>
        <w:tc>
          <w:tcPr>
            <w:tcW w:w="3780" w:type="dxa"/>
          </w:tcPr>
          <w:p w14:paraId="5C8C2497" w14:textId="57903044" w:rsidR="00C82AE0" w:rsidRPr="00C82AE0" w:rsidRDefault="00A4683A" w:rsidP="00C82AE0">
            <w:pPr>
              <w:spacing w:before="60" w:after="60"/>
              <w:rPr>
                <w:rFonts w:cs="Calibri"/>
                <w:color w:val="424242"/>
                <w:sz w:val="24"/>
                <w:szCs w:val="24"/>
                <w:lang w:val="en-CA" w:eastAsia="en-CA"/>
              </w:rPr>
            </w:pPr>
            <w:r>
              <w:rPr>
                <w:rFonts w:cs="Calibri"/>
                <w:color w:val="424242"/>
                <w:sz w:val="24"/>
                <w:szCs w:val="24"/>
                <w:lang w:val="en-CA" w:eastAsia="en-CA"/>
              </w:rPr>
              <w:t>10%</w:t>
            </w:r>
          </w:p>
        </w:tc>
        <w:tc>
          <w:tcPr>
            <w:tcW w:w="3708" w:type="dxa"/>
          </w:tcPr>
          <w:p w14:paraId="0764AAA6" w14:textId="42F55630" w:rsidR="00C82AE0" w:rsidRPr="00C82AE0" w:rsidRDefault="00A4683A" w:rsidP="00C82AE0">
            <w:pPr>
              <w:spacing w:before="60" w:after="60"/>
              <w:rPr>
                <w:rFonts w:cs="Calibri"/>
                <w:color w:val="424242"/>
                <w:sz w:val="24"/>
                <w:szCs w:val="24"/>
                <w:lang w:val="en-CA" w:eastAsia="en-CA"/>
              </w:rPr>
            </w:pPr>
            <w:r>
              <w:rPr>
                <w:rFonts w:cs="Calibri"/>
                <w:color w:val="424242"/>
                <w:sz w:val="24"/>
                <w:szCs w:val="24"/>
                <w:lang w:val="en-CA" w:eastAsia="en-CA"/>
              </w:rPr>
              <w:t>10%</w:t>
            </w:r>
          </w:p>
        </w:tc>
      </w:tr>
    </w:tbl>
    <w:p w14:paraId="5AC78C18" w14:textId="77777777" w:rsidR="001917DF" w:rsidRPr="001917DF" w:rsidRDefault="001917DF" w:rsidP="00880E85">
      <w:pPr>
        <w:pStyle w:val="Heading2"/>
        <w:rPr>
          <w:rFonts w:eastAsia="Times New Roman" w:cs="Calibri"/>
          <w:color w:val="424242"/>
          <w:lang w:val="en-CA" w:eastAsia="en-CA"/>
        </w:rPr>
      </w:pPr>
      <w:r w:rsidRPr="001917DF">
        <w:rPr>
          <w:rFonts w:eastAsia="Times New Roman"/>
          <w:bdr w:val="none" w:sz="0" w:space="0" w:color="auto" w:frame="1"/>
          <w:lang w:val="en-CA" w:eastAsia="en-CA"/>
        </w:rPr>
        <w:t>Page 7 Trade and Economic Sanctions was added as additional condition:</w:t>
      </w:r>
    </w:p>
    <w:p w14:paraId="5AC78C19" w14:textId="77777777" w:rsidR="001917DF" w:rsidRPr="001917DF" w:rsidRDefault="001917DF" w:rsidP="00880E85">
      <w:pPr>
        <w:rPr>
          <w:lang w:val="en-CA" w:eastAsia="en-CA"/>
        </w:rPr>
      </w:pPr>
      <w:r w:rsidRPr="001917DF">
        <w:rPr>
          <w:lang w:val="en-CA" w:eastAsia="en-CA"/>
        </w:rPr>
        <w:t>This Endorsement Changes this Policy. Please Read It Carefully.</w:t>
      </w:r>
    </w:p>
    <w:p w14:paraId="5AC78C1A" w14:textId="77777777" w:rsidR="0098641B" w:rsidRPr="001917DF" w:rsidRDefault="001917DF" w:rsidP="00880E85">
      <w:r w:rsidRPr="001917DF">
        <w:rPr>
          <w:lang w:val="en-CA" w:eastAsia="en-CA"/>
        </w:rPr>
        <w:t>Certain words and phrases that appear in bold have special meaning as defined below or in the Form to which this Endorsement is attached. This Endorsement is attached to this Policy and is subject to all terms, conditions, limitations and exclusions of such Policy. The titles of sections or paragraphs listed below should not be considered for purposes of interpreting the intent of this Endorsement; these titles have only been inserted for ease of reading. Throughout this Endorsement, Insurer means the company providing this insurance. TRADE AND ECONOMIC SANCTIONS The Insurer shall not provide any coverage or be liable to provide any indemnity or payment or other benefit under this Policy if and to the extent that doing so would breach any prohibition. For the purposes of this Endorsement: Prohibition means any prohibition or restriction imposed by law or regulation including but not limited to: 1. trade and/or economic sanctions laws and/or regulations of Canada, the United Kingdom, or any other jurisdiction or authority relevant to the parties; and 2. any activities that would be subject to a licence requirement under those laws and/or regulations in respect of transit and/or export control, unless such licence has been obtained prior to the activity commencing and the Insurer has approved the provision of insurance for the activity. All other terms, conditions and limitations of this Policy remain unchanged</w:t>
      </w:r>
      <w:r w:rsidR="005127A8">
        <w:rPr>
          <w:lang w:val="en-CA" w:eastAsia="en-CA"/>
        </w:rPr>
        <w:t>.</w:t>
      </w:r>
    </w:p>
    <w:sectPr w:rsidR="0098641B" w:rsidRPr="001917DF" w:rsidSect="00095F93">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F378F" w14:textId="77777777" w:rsidR="00095F93" w:rsidRDefault="00095F93" w:rsidP="00095F93">
      <w:pPr>
        <w:spacing w:after="0"/>
      </w:pPr>
      <w:r>
        <w:separator/>
      </w:r>
    </w:p>
  </w:endnote>
  <w:endnote w:type="continuationSeparator" w:id="0">
    <w:p w14:paraId="30A4051F" w14:textId="77777777" w:rsidR="00095F93" w:rsidRDefault="00095F93" w:rsidP="00095F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874528"/>
      <w:docPartObj>
        <w:docPartGallery w:val="Page Numbers (Bottom of Page)"/>
        <w:docPartUnique/>
      </w:docPartObj>
    </w:sdtPr>
    <w:sdtEndPr>
      <w:rPr>
        <w:noProof/>
      </w:rPr>
    </w:sdtEndPr>
    <w:sdtContent>
      <w:p w14:paraId="0EE20805" w14:textId="1981BEDC" w:rsidR="00316C20" w:rsidRDefault="00316C20">
        <w:pPr>
          <w:pStyle w:val="Footer"/>
        </w:pPr>
        <w:r>
          <w:t>The United Church of Canada</w:t>
        </w:r>
        <w:r>
          <w:tab/>
        </w:r>
        <w:r>
          <w:fldChar w:fldCharType="begin"/>
        </w:r>
        <w:r>
          <w:instrText xml:space="preserve"> PAGE   \* MERGEFORMAT </w:instrText>
        </w:r>
        <w:r>
          <w:fldChar w:fldCharType="separate"/>
        </w:r>
        <w:r>
          <w:t>1</w:t>
        </w:r>
        <w:r>
          <w:rPr>
            <w:noProof/>
          </w:rPr>
          <w:fldChar w:fldCharType="end"/>
        </w:r>
        <w:r>
          <w:rPr>
            <w:noProof/>
          </w:rPr>
          <w:tab/>
          <w:t>L’</w:t>
        </w:r>
        <w:r>
          <w:rPr>
            <w:rFonts w:cs="Calibri"/>
            <w:noProof/>
          </w:rPr>
          <w:t>É</w:t>
        </w:r>
        <w:r>
          <w:rPr>
            <w:noProof/>
          </w:rPr>
          <w:t>glise Unie du Canada</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305224"/>
      <w:docPartObj>
        <w:docPartGallery w:val="Page Numbers (Bottom of Page)"/>
        <w:docPartUnique/>
      </w:docPartObj>
    </w:sdtPr>
    <w:sdtEndPr>
      <w:rPr>
        <w:noProof/>
      </w:rPr>
    </w:sdtEndPr>
    <w:sdtContent>
      <w:p w14:paraId="619A988E" w14:textId="73A688F3" w:rsidR="00095F93" w:rsidRDefault="00316C20">
        <w:pPr>
          <w:pStyle w:val="Footer"/>
        </w:pPr>
        <w:r>
          <w:t>The United Church of Canada</w:t>
        </w:r>
        <w:r>
          <w:tab/>
        </w:r>
        <w:r>
          <w:fldChar w:fldCharType="begin"/>
        </w:r>
        <w:r>
          <w:instrText xml:space="preserve"> PAGE   \* MERGEFORMAT </w:instrText>
        </w:r>
        <w:r>
          <w:fldChar w:fldCharType="separate"/>
        </w:r>
        <w:r>
          <w:rPr>
            <w:noProof/>
          </w:rPr>
          <w:t>2</w:t>
        </w:r>
        <w:r>
          <w:rPr>
            <w:noProof/>
          </w:rPr>
          <w:fldChar w:fldCharType="end"/>
        </w:r>
        <w:r>
          <w:rPr>
            <w:noProof/>
          </w:rPr>
          <w:tab/>
          <w:t>L’</w:t>
        </w:r>
        <w:r>
          <w:rPr>
            <w:rFonts w:cs="Calibri"/>
            <w:noProof/>
          </w:rPr>
          <w:t>É</w:t>
        </w:r>
        <w:r>
          <w:rPr>
            <w:noProof/>
          </w:rPr>
          <w:t>glise Unie du Canada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3ACE" w14:textId="77777777" w:rsidR="00095F93" w:rsidRDefault="00095F93" w:rsidP="00095F93">
      <w:pPr>
        <w:spacing w:after="0"/>
      </w:pPr>
      <w:r>
        <w:separator/>
      </w:r>
    </w:p>
  </w:footnote>
  <w:footnote w:type="continuationSeparator" w:id="0">
    <w:p w14:paraId="62EE9216" w14:textId="77777777" w:rsidR="00095F93" w:rsidRDefault="00095F93" w:rsidP="00095F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E8A44" w14:textId="49225D53" w:rsidR="00095F93" w:rsidRPr="00095F93" w:rsidRDefault="00095F93" w:rsidP="00316C20">
    <w:pPr>
      <w:pStyle w:val="Header"/>
      <w:rPr>
        <w:bdr w:val="none" w:sz="0" w:space="0" w:color="auto" w:frame="1"/>
        <w:lang w:val="en-CA" w:eastAsia="en-CA"/>
      </w:rPr>
    </w:pPr>
    <w:r>
      <w:rPr>
        <w:bdr w:val="none" w:sz="0" w:space="0" w:color="auto" w:frame="1"/>
        <w:lang w:val="en-CA" w:eastAsia="en-CA"/>
      </w:rPr>
      <w:t>UCC Protect United wordings changed with December 1, 2022, renewals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C632E"/>
    <w:multiLevelType w:val="hybridMultilevel"/>
    <w:tmpl w:val="E286D6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60C03"/>
    <w:multiLevelType w:val="hybridMultilevel"/>
    <w:tmpl w:val="E286D66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A694A72"/>
    <w:multiLevelType w:val="hybridMultilevel"/>
    <w:tmpl w:val="62A84514"/>
    <w:lvl w:ilvl="0" w:tplc="60A89F9C">
      <w:start w:val="1"/>
      <w:numFmt w:val="bullet"/>
      <w:lvlText w:val="•"/>
      <w:lvlJc w:val="left"/>
      <w:pPr>
        <w:tabs>
          <w:tab w:val="num" w:pos="720"/>
        </w:tabs>
        <w:ind w:left="720" w:hanging="360"/>
      </w:pPr>
      <w:rPr>
        <w:rFonts w:ascii="Arial" w:hAnsi="Arial" w:hint="default"/>
      </w:rPr>
    </w:lvl>
    <w:lvl w:ilvl="1" w:tplc="D1506870" w:tentative="1">
      <w:start w:val="1"/>
      <w:numFmt w:val="bullet"/>
      <w:lvlText w:val="•"/>
      <w:lvlJc w:val="left"/>
      <w:pPr>
        <w:tabs>
          <w:tab w:val="num" w:pos="1440"/>
        </w:tabs>
        <w:ind w:left="1440" w:hanging="360"/>
      </w:pPr>
      <w:rPr>
        <w:rFonts w:ascii="Arial" w:hAnsi="Arial" w:hint="default"/>
      </w:rPr>
    </w:lvl>
    <w:lvl w:ilvl="2" w:tplc="293079EC" w:tentative="1">
      <w:start w:val="1"/>
      <w:numFmt w:val="bullet"/>
      <w:lvlText w:val="•"/>
      <w:lvlJc w:val="left"/>
      <w:pPr>
        <w:tabs>
          <w:tab w:val="num" w:pos="2160"/>
        </w:tabs>
        <w:ind w:left="2160" w:hanging="360"/>
      </w:pPr>
      <w:rPr>
        <w:rFonts w:ascii="Arial" w:hAnsi="Arial" w:hint="default"/>
      </w:rPr>
    </w:lvl>
    <w:lvl w:ilvl="3" w:tplc="E36C4738" w:tentative="1">
      <w:start w:val="1"/>
      <w:numFmt w:val="bullet"/>
      <w:lvlText w:val="•"/>
      <w:lvlJc w:val="left"/>
      <w:pPr>
        <w:tabs>
          <w:tab w:val="num" w:pos="2880"/>
        </w:tabs>
        <w:ind w:left="2880" w:hanging="360"/>
      </w:pPr>
      <w:rPr>
        <w:rFonts w:ascii="Arial" w:hAnsi="Arial" w:hint="default"/>
      </w:rPr>
    </w:lvl>
    <w:lvl w:ilvl="4" w:tplc="8F148524" w:tentative="1">
      <w:start w:val="1"/>
      <w:numFmt w:val="bullet"/>
      <w:lvlText w:val="•"/>
      <w:lvlJc w:val="left"/>
      <w:pPr>
        <w:tabs>
          <w:tab w:val="num" w:pos="3600"/>
        </w:tabs>
        <w:ind w:left="3600" w:hanging="360"/>
      </w:pPr>
      <w:rPr>
        <w:rFonts w:ascii="Arial" w:hAnsi="Arial" w:hint="default"/>
      </w:rPr>
    </w:lvl>
    <w:lvl w:ilvl="5" w:tplc="21A2BA76" w:tentative="1">
      <w:start w:val="1"/>
      <w:numFmt w:val="bullet"/>
      <w:lvlText w:val="•"/>
      <w:lvlJc w:val="left"/>
      <w:pPr>
        <w:tabs>
          <w:tab w:val="num" w:pos="4320"/>
        </w:tabs>
        <w:ind w:left="4320" w:hanging="360"/>
      </w:pPr>
      <w:rPr>
        <w:rFonts w:ascii="Arial" w:hAnsi="Arial" w:hint="default"/>
      </w:rPr>
    </w:lvl>
    <w:lvl w:ilvl="6" w:tplc="F5AC77E2" w:tentative="1">
      <w:start w:val="1"/>
      <w:numFmt w:val="bullet"/>
      <w:lvlText w:val="•"/>
      <w:lvlJc w:val="left"/>
      <w:pPr>
        <w:tabs>
          <w:tab w:val="num" w:pos="5040"/>
        </w:tabs>
        <w:ind w:left="5040" w:hanging="360"/>
      </w:pPr>
      <w:rPr>
        <w:rFonts w:ascii="Arial" w:hAnsi="Arial" w:hint="default"/>
      </w:rPr>
    </w:lvl>
    <w:lvl w:ilvl="7" w:tplc="A8EE3474" w:tentative="1">
      <w:start w:val="1"/>
      <w:numFmt w:val="bullet"/>
      <w:lvlText w:val="•"/>
      <w:lvlJc w:val="left"/>
      <w:pPr>
        <w:tabs>
          <w:tab w:val="num" w:pos="5760"/>
        </w:tabs>
        <w:ind w:left="5760" w:hanging="360"/>
      </w:pPr>
      <w:rPr>
        <w:rFonts w:ascii="Arial" w:hAnsi="Arial" w:hint="default"/>
      </w:rPr>
    </w:lvl>
    <w:lvl w:ilvl="8" w:tplc="BD6697A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1982"/>
    <w:rsid w:val="00045B33"/>
    <w:rsid w:val="00095F93"/>
    <w:rsid w:val="000B5C2B"/>
    <w:rsid w:val="00137B7D"/>
    <w:rsid w:val="0018174A"/>
    <w:rsid w:val="001917DF"/>
    <w:rsid w:val="00196176"/>
    <w:rsid w:val="00282923"/>
    <w:rsid w:val="002F26D2"/>
    <w:rsid w:val="00316C20"/>
    <w:rsid w:val="00391982"/>
    <w:rsid w:val="003D2DF3"/>
    <w:rsid w:val="003E7F53"/>
    <w:rsid w:val="004170ED"/>
    <w:rsid w:val="00450FB2"/>
    <w:rsid w:val="005127A8"/>
    <w:rsid w:val="00564987"/>
    <w:rsid w:val="0060295A"/>
    <w:rsid w:val="006577DF"/>
    <w:rsid w:val="006E20BF"/>
    <w:rsid w:val="006E6339"/>
    <w:rsid w:val="00723E63"/>
    <w:rsid w:val="0074162A"/>
    <w:rsid w:val="007723A6"/>
    <w:rsid w:val="0079218B"/>
    <w:rsid w:val="007C634A"/>
    <w:rsid w:val="008727B9"/>
    <w:rsid w:val="00875254"/>
    <w:rsid w:val="00880E85"/>
    <w:rsid w:val="008B1723"/>
    <w:rsid w:val="0095706C"/>
    <w:rsid w:val="009623E7"/>
    <w:rsid w:val="0098641B"/>
    <w:rsid w:val="00A228CB"/>
    <w:rsid w:val="00A26A87"/>
    <w:rsid w:val="00A4683A"/>
    <w:rsid w:val="00B73A1B"/>
    <w:rsid w:val="00C30513"/>
    <w:rsid w:val="00C82AE0"/>
    <w:rsid w:val="00E77B28"/>
    <w:rsid w:val="00EF7E08"/>
    <w:rsid w:val="00F732AC"/>
    <w:rsid w:val="00FB4C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78C0F"/>
  <w15:docId w15:val="{FC92FB9E-F085-42C2-9596-8038B4DE7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34A"/>
    <w:pPr>
      <w:spacing w:after="240" w:line="240" w:lineRule="auto"/>
    </w:pPr>
    <w:rPr>
      <w:rFonts w:ascii="Calibri" w:hAnsi="Calibri"/>
      <w:sz w:val="24"/>
    </w:rPr>
  </w:style>
  <w:style w:type="paragraph" w:styleId="Heading1">
    <w:name w:val="heading 1"/>
    <w:basedOn w:val="Normal"/>
    <w:next w:val="Normal"/>
    <w:link w:val="Heading1Char"/>
    <w:uiPriority w:val="9"/>
    <w:qFormat/>
    <w:rsid w:val="0079218B"/>
    <w:pPr>
      <w:keepNext/>
      <w:keepLines/>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162A"/>
    <w:pPr>
      <w:keepNext/>
      <w:keepLines/>
      <w:spacing w:before="240" w:after="12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982"/>
    <w:pPr>
      <w:ind w:left="720"/>
      <w:contextualSpacing/>
    </w:pPr>
  </w:style>
  <w:style w:type="character" w:styleId="CommentReference">
    <w:name w:val="annotation reference"/>
    <w:basedOn w:val="DefaultParagraphFont"/>
    <w:uiPriority w:val="99"/>
    <w:semiHidden/>
    <w:unhideWhenUsed/>
    <w:rsid w:val="006E20BF"/>
    <w:rPr>
      <w:sz w:val="16"/>
      <w:szCs w:val="16"/>
    </w:rPr>
  </w:style>
  <w:style w:type="paragraph" w:styleId="CommentText">
    <w:name w:val="annotation text"/>
    <w:basedOn w:val="Normal"/>
    <w:link w:val="CommentTextChar"/>
    <w:uiPriority w:val="99"/>
    <w:semiHidden/>
    <w:unhideWhenUsed/>
    <w:rsid w:val="006E20BF"/>
    <w:rPr>
      <w:sz w:val="20"/>
      <w:szCs w:val="20"/>
    </w:rPr>
  </w:style>
  <w:style w:type="character" w:customStyle="1" w:styleId="CommentTextChar">
    <w:name w:val="Comment Text Char"/>
    <w:basedOn w:val="DefaultParagraphFont"/>
    <w:link w:val="CommentText"/>
    <w:uiPriority w:val="99"/>
    <w:semiHidden/>
    <w:rsid w:val="006E20BF"/>
    <w:rPr>
      <w:sz w:val="20"/>
      <w:szCs w:val="20"/>
    </w:rPr>
  </w:style>
  <w:style w:type="paragraph" w:styleId="CommentSubject">
    <w:name w:val="annotation subject"/>
    <w:basedOn w:val="CommentText"/>
    <w:next w:val="CommentText"/>
    <w:link w:val="CommentSubjectChar"/>
    <w:uiPriority w:val="99"/>
    <w:semiHidden/>
    <w:unhideWhenUsed/>
    <w:rsid w:val="006E20BF"/>
    <w:rPr>
      <w:b/>
      <w:bCs/>
    </w:rPr>
  </w:style>
  <w:style w:type="character" w:customStyle="1" w:styleId="CommentSubjectChar">
    <w:name w:val="Comment Subject Char"/>
    <w:basedOn w:val="CommentTextChar"/>
    <w:link w:val="CommentSubject"/>
    <w:uiPriority w:val="99"/>
    <w:semiHidden/>
    <w:rsid w:val="006E20BF"/>
    <w:rPr>
      <w:b/>
      <w:bCs/>
      <w:sz w:val="20"/>
      <w:szCs w:val="20"/>
    </w:rPr>
  </w:style>
  <w:style w:type="paragraph" w:styleId="NormalWeb">
    <w:name w:val="Normal (Web)"/>
    <w:basedOn w:val="Normal"/>
    <w:uiPriority w:val="99"/>
    <w:semiHidden/>
    <w:unhideWhenUsed/>
    <w:rsid w:val="006E6339"/>
    <w:pPr>
      <w:spacing w:after="0"/>
    </w:pPr>
    <w:rPr>
      <w:rFonts w:cs="Calibri"/>
    </w:rPr>
  </w:style>
  <w:style w:type="character" w:customStyle="1" w:styleId="contentpasted0">
    <w:name w:val="contentpasted0"/>
    <w:basedOn w:val="DefaultParagraphFont"/>
    <w:rsid w:val="006E6339"/>
  </w:style>
  <w:style w:type="paragraph" w:customStyle="1" w:styleId="xmsonormal">
    <w:name w:val="x_msonormal"/>
    <w:basedOn w:val="Normal"/>
    <w:rsid w:val="0098641B"/>
    <w:pPr>
      <w:spacing w:after="0"/>
    </w:pPr>
    <w:rPr>
      <w:rFonts w:cs="Calibri"/>
    </w:rPr>
  </w:style>
  <w:style w:type="paragraph" w:customStyle="1" w:styleId="xmsolistparagraph">
    <w:name w:val="x_msolistparagraph"/>
    <w:basedOn w:val="Normal"/>
    <w:rsid w:val="0098641B"/>
    <w:pPr>
      <w:spacing w:after="0"/>
      <w:ind w:left="720"/>
    </w:pPr>
    <w:rPr>
      <w:rFonts w:cs="Calibri"/>
    </w:rPr>
  </w:style>
  <w:style w:type="paragraph" w:styleId="BalloonText">
    <w:name w:val="Balloon Text"/>
    <w:basedOn w:val="Normal"/>
    <w:link w:val="BalloonTextChar"/>
    <w:uiPriority w:val="99"/>
    <w:semiHidden/>
    <w:unhideWhenUsed/>
    <w:rsid w:val="002F26D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6D2"/>
    <w:rPr>
      <w:rFonts w:ascii="Tahoma" w:hAnsi="Tahoma" w:cs="Tahoma"/>
      <w:sz w:val="16"/>
      <w:szCs w:val="16"/>
    </w:rPr>
  </w:style>
  <w:style w:type="character" w:customStyle="1" w:styleId="Heading1Char">
    <w:name w:val="Heading 1 Char"/>
    <w:basedOn w:val="DefaultParagraphFont"/>
    <w:link w:val="Heading1"/>
    <w:uiPriority w:val="9"/>
    <w:rsid w:val="0079218B"/>
    <w:rPr>
      <w:rFonts w:ascii="Calibri" w:eastAsiaTheme="majorEastAsia" w:hAnsi="Calibri" w:cstheme="majorBidi"/>
      <w:b/>
      <w:sz w:val="32"/>
      <w:szCs w:val="32"/>
    </w:rPr>
  </w:style>
  <w:style w:type="table" w:styleId="TableGrid">
    <w:name w:val="Table Grid"/>
    <w:basedOn w:val="TableNormal"/>
    <w:uiPriority w:val="39"/>
    <w:unhideWhenUsed/>
    <w:rsid w:val="007C6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4162A"/>
    <w:rPr>
      <w:rFonts w:ascii="Calibri" w:eastAsiaTheme="majorEastAsia" w:hAnsi="Calibri" w:cstheme="majorBidi"/>
      <w:b/>
      <w:sz w:val="28"/>
      <w:szCs w:val="26"/>
    </w:rPr>
  </w:style>
  <w:style w:type="paragraph" w:styleId="Header">
    <w:name w:val="header"/>
    <w:basedOn w:val="Normal"/>
    <w:link w:val="HeaderChar"/>
    <w:uiPriority w:val="99"/>
    <w:unhideWhenUsed/>
    <w:rsid w:val="00316C20"/>
    <w:pPr>
      <w:tabs>
        <w:tab w:val="center" w:pos="4680"/>
        <w:tab w:val="right" w:pos="9360"/>
      </w:tabs>
      <w:spacing w:after="0"/>
      <w:jc w:val="right"/>
    </w:pPr>
    <w:rPr>
      <w:sz w:val="22"/>
    </w:rPr>
  </w:style>
  <w:style w:type="character" w:customStyle="1" w:styleId="HeaderChar">
    <w:name w:val="Header Char"/>
    <w:basedOn w:val="DefaultParagraphFont"/>
    <w:link w:val="Header"/>
    <w:uiPriority w:val="99"/>
    <w:rsid w:val="00316C20"/>
    <w:rPr>
      <w:rFonts w:ascii="Calibri" w:hAnsi="Calibri"/>
    </w:rPr>
  </w:style>
  <w:style w:type="paragraph" w:styleId="Footer">
    <w:name w:val="footer"/>
    <w:basedOn w:val="Normal"/>
    <w:link w:val="FooterChar"/>
    <w:uiPriority w:val="99"/>
    <w:unhideWhenUsed/>
    <w:rsid w:val="00316C20"/>
    <w:pPr>
      <w:tabs>
        <w:tab w:val="center" w:pos="4680"/>
        <w:tab w:val="right" w:pos="9360"/>
      </w:tabs>
      <w:spacing w:after="0"/>
    </w:pPr>
    <w:rPr>
      <w:sz w:val="22"/>
    </w:rPr>
  </w:style>
  <w:style w:type="character" w:customStyle="1" w:styleId="FooterChar">
    <w:name w:val="Footer Char"/>
    <w:basedOn w:val="DefaultParagraphFont"/>
    <w:link w:val="Footer"/>
    <w:uiPriority w:val="99"/>
    <w:rsid w:val="00316C20"/>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09979">
      <w:bodyDiv w:val="1"/>
      <w:marLeft w:val="0"/>
      <w:marRight w:val="0"/>
      <w:marTop w:val="0"/>
      <w:marBottom w:val="0"/>
      <w:divBdr>
        <w:top w:val="none" w:sz="0" w:space="0" w:color="auto"/>
        <w:left w:val="none" w:sz="0" w:space="0" w:color="auto"/>
        <w:bottom w:val="none" w:sz="0" w:space="0" w:color="auto"/>
        <w:right w:val="none" w:sz="0" w:space="0" w:color="auto"/>
      </w:divBdr>
    </w:div>
    <w:div w:id="347559128">
      <w:bodyDiv w:val="1"/>
      <w:marLeft w:val="0"/>
      <w:marRight w:val="0"/>
      <w:marTop w:val="0"/>
      <w:marBottom w:val="0"/>
      <w:divBdr>
        <w:top w:val="none" w:sz="0" w:space="0" w:color="auto"/>
        <w:left w:val="none" w:sz="0" w:space="0" w:color="auto"/>
        <w:bottom w:val="none" w:sz="0" w:space="0" w:color="auto"/>
        <w:right w:val="none" w:sz="0" w:space="0" w:color="auto"/>
      </w:divBdr>
    </w:div>
    <w:div w:id="397941912">
      <w:bodyDiv w:val="1"/>
      <w:marLeft w:val="0"/>
      <w:marRight w:val="0"/>
      <w:marTop w:val="0"/>
      <w:marBottom w:val="0"/>
      <w:divBdr>
        <w:top w:val="none" w:sz="0" w:space="0" w:color="auto"/>
        <w:left w:val="none" w:sz="0" w:space="0" w:color="auto"/>
        <w:bottom w:val="none" w:sz="0" w:space="0" w:color="auto"/>
        <w:right w:val="none" w:sz="0" w:space="0" w:color="auto"/>
      </w:divBdr>
    </w:div>
    <w:div w:id="1257975999">
      <w:bodyDiv w:val="1"/>
      <w:marLeft w:val="0"/>
      <w:marRight w:val="0"/>
      <w:marTop w:val="0"/>
      <w:marBottom w:val="0"/>
      <w:divBdr>
        <w:top w:val="none" w:sz="0" w:space="0" w:color="auto"/>
        <w:left w:val="none" w:sz="0" w:space="0" w:color="auto"/>
        <w:bottom w:val="none" w:sz="0" w:space="0" w:color="auto"/>
        <w:right w:val="none" w:sz="0" w:space="0" w:color="auto"/>
      </w:divBdr>
    </w:div>
    <w:div w:id="1388529570">
      <w:bodyDiv w:val="1"/>
      <w:marLeft w:val="0"/>
      <w:marRight w:val="0"/>
      <w:marTop w:val="0"/>
      <w:marBottom w:val="0"/>
      <w:divBdr>
        <w:top w:val="none" w:sz="0" w:space="0" w:color="auto"/>
        <w:left w:val="none" w:sz="0" w:space="0" w:color="auto"/>
        <w:bottom w:val="none" w:sz="0" w:space="0" w:color="auto"/>
        <w:right w:val="none" w:sz="0" w:space="0" w:color="auto"/>
      </w:divBdr>
      <w:divsChild>
        <w:div w:id="345864328">
          <w:marLeft w:val="274"/>
          <w:marRight w:val="0"/>
          <w:marTop w:val="0"/>
          <w:marBottom w:val="0"/>
          <w:divBdr>
            <w:top w:val="none" w:sz="0" w:space="0" w:color="auto"/>
            <w:left w:val="none" w:sz="0" w:space="0" w:color="auto"/>
            <w:bottom w:val="none" w:sz="0" w:space="0" w:color="auto"/>
            <w:right w:val="none" w:sz="0" w:space="0" w:color="auto"/>
          </w:divBdr>
        </w:div>
        <w:div w:id="484513669">
          <w:marLeft w:val="274"/>
          <w:marRight w:val="0"/>
          <w:marTop w:val="0"/>
          <w:marBottom w:val="0"/>
          <w:divBdr>
            <w:top w:val="none" w:sz="0" w:space="0" w:color="auto"/>
            <w:left w:val="none" w:sz="0" w:space="0" w:color="auto"/>
            <w:bottom w:val="none" w:sz="0" w:space="0" w:color="auto"/>
            <w:right w:val="none" w:sz="0" w:space="0" w:color="auto"/>
          </w:divBdr>
        </w:div>
        <w:div w:id="1689286106">
          <w:marLeft w:val="274"/>
          <w:marRight w:val="0"/>
          <w:marTop w:val="0"/>
          <w:marBottom w:val="0"/>
          <w:divBdr>
            <w:top w:val="none" w:sz="0" w:space="0" w:color="auto"/>
            <w:left w:val="none" w:sz="0" w:space="0" w:color="auto"/>
            <w:bottom w:val="none" w:sz="0" w:space="0" w:color="auto"/>
            <w:right w:val="none" w:sz="0" w:space="0" w:color="auto"/>
          </w:divBdr>
        </w:div>
        <w:div w:id="2090030859">
          <w:marLeft w:val="274"/>
          <w:marRight w:val="0"/>
          <w:marTop w:val="0"/>
          <w:marBottom w:val="0"/>
          <w:divBdr>
            <w:top w:val="none" w:sz="0" w:space="0" w:color="auto"/>
            <w:left w:val="none" w:sz="0" w:space="0" w:color="auto"/>
            <w:bottom w:val="none" w:sz="0" w:space="0" w:color="auto"/>
            <w:right w:val="none" w:sz="0" w:space="0" w:color="auto"/>
          </w:divBdr>
        </w:div>
      </w:divsChild>
    </w:div>
    <w:div w:id="1650816697">
      <w:bodyDiv w:val="1"/>
      <w:marLeft w:val="0"/>
      <w:marRight w:val="0"/>
      <w:marTop w:val="0"/>
      <w:marBottom w:val="0"/>
      <w:divBdr>
        <w:top w:val="none" w:sz="0" w:space="0" w:color="auto"/>
        <w:left w:val="none" w:sz="0" w:space="0" w:color="auto"/>
        <w:bottom w:val="none" w:sz="0" w:space="0" w:color="auto"/>
        <w:right w:val="none" w:sz="0" w:space="0" w:color="auto"/>
      </w:divBdr>
    </w:div>
    <w:div w:id="212265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UCC Protect United wordings changed with December 1, 2022, renewals</vt:lpstr>
    </vt:vector>
  </TitlesOfParts>
  <Company>HUB International</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 Protect United wordings changed with December 1, 2022, renewals</dc:title>
  <dc:subject>UCC Protect United insurance policy wording changes.</dc:subject>
  <dc:creator>HUB International</dc:creator>
  <cp:keywords>UCC, Protect, United, insurance, HUB, risk</cp:keywords>
  <cp:lastModifiedBy>Claudia Kutchukian</cp:lastModifiedBy>
  <cp:revision>17</cp:revision>
  <dcterms:created xsi:type="dcterms:W3CDTF">2022-12-04T20:54:00Z</dcterms:created>
  <dcterms:modified xsi:type="dcterms:W3CDTF">2022-12-05T15:11:00Z</dcterms:modified>
</cp:coreProperties>
</file>